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2617372" cy="1013745"/>
            <wp:effectExtent b="0" l="0" r="0" t="0"/>
            <wp:docPr id="107374183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7372" cy="1013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25401</wp:posOffset>
                </wp:positionV>
                <wp:extent cx="2898775" cy="894715"/>
                <wp:effectExtent b="0" l="0" r="0" t="0"/>
                <wp:wrapSquare wrapText="bothSides" distB="152400" distT="152400" distL="152400" distR="152400"/>
                <wp:docPr id="10737418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0900" y="3346930"/>
                          <a:ext cx="28702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  <w:t xml:space="preserve">Rua Antônio de Godoi, 35 – conj. 102 - Centro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  <w:t xml:space="preserve">São Paulo – SP – Brasil CEP 0134-001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  <w:t xml:space="preserve">Fone: (11) 3081-0659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  <w:t xml:space="preserve">E-mail: sobest@sobest.org.br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vertAlign w:val="baseline"/>
                              </w:rPr>
                              <w:t xml:space="preserve">www.sobest.org.br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25401</wp:posOffset>
                </wp:positionV>
                <wp:extent cx="2898775" cy="894715"/>
                <wp:effectExtent b="0" l="0" r="0" t="0"/>
                <wp:wrapSquare wrapText="bothSides" distB="152400" distT="152400" distL="152400" distR="152400"/>
                <wp:docPr id="10737418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775" cy="894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0075c2" w:val="clear"/>
        <w:spacing w:after="150" w:before="0" w:line="480" w:lineRule="auto"/>
        <w:jc w:val="center"/>
        <w:rPr>
          <w:rFonts w:ascii="Arial" w:cs="Arial" w:eastAsia="Arial" w:hAnsi="Arial"/>
          <w:b w:val="1"/>
          <w:smallCaps w:val="1"/>
          <w:color w:val="ffffff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0075c2" w:val="clear"/>
        <w:spacing w:after="150" w:before="0" w:line="480" w:lineRule="auto"/>
        <w:jc w:val="center"/>
        <w:rPr>
          <w:rFonts w:ascii="Arial" w:cs="Arial" w:eastAsia="Arial" w:hAnsi="Arial"/>
          <w:smallCaps w:val="1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4"/>
          <w:szCs w:val="24"/>
          <w:rtl w:val="0"/>
        </w:rPr>
        <w:t xml:space="preserve">TISOBEST -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bottom w:color="0075c2" w:space="0" w:sz="6" w:val="dotted"/>
        </w:pBdr>
        <w:spacing w:after="300" w:before="0" w:line="480" w:lineRule="auto"/>
        <w:jc w:val="center"/>
        <w:rPr>
          <w:rFonts w:ascii="Arial" w:cs="Arial" w:eastAsia="Arial" w:hAnsi="Arial"/>
          <w:b w:val="0"/>
          <w:color w:val="0075c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75c2"/>
          <w:sz w:val="24"/>
          <w:szCs w:val="24"/>
          <w:rtl w:val="0"/>
        </w:rPr>
        <w:t xml:space="preserve">EDITAL -TISOBEST 2022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Abrams P, Cardozo L, Wagg A, Weins A. Incontinence. 6th International Consultation on Incontinence, Tokyo, September 2016.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Almeida FG,  Zambon JP. Fístulas Urogenitais. In: Nardozza Júnior A. Zerati Filho M, Reis RB. Urologia Fundamental . Sociedade Brasileira de Urologia. São Paulo. p. 267-72. 2010.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color w:val="3d3637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highlight w:val="white"/>
          <w:rtl w:val="0"/>
        </w:rPr>
        <w:t xml:space="preserve">European Pressure Ulcer Advisory Panel, National Pressure Injury Advisory Panel and Pan Pacific Pressure Injury Alliance. Prevenção e tratamento de úlceras/lesões por pressão: guia de consulta rápida. (edição em português brasileiro). Emily Haesler(Ed.). EPUAP/NPIAP/PPPIA: 2019.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Averbeck MA. Fístulas no trato Urinário.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In: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Santos VLCG, Cesaretti IUR. Assistência em Estomaterapia – Cuidando d</w:t>
      </w: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 Pessoas com Estomias. Atheneu, 2ª Edição, p. 177- 89, 2015.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Borges EL. Feridas: úlceras dos membros inferiores. Rio de Janeiro: Guanabara Koogan, 2012.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Borges EL, Santos CM, Soares MR. Modelo ABC para o manejo da úlcera venosa de perna. Estima. 2017; 15(3):182-187. Doi: 10.5327/Z1806-3144201700030010.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Brasil. Ministério da Saúde . Protocolo Clínico e Diretrizes Terapêuticas da Doença de Crohn. Portaria conjunta nº 14, de 28 de novembro de 2017.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Braz MP, Martins F. Princípio de Mitrofanoff – pequenos segmentos, grandes soluções. Urologia Essencial. 2012 Jul - Set; 02(01).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Catherine R. Ratliff, Stephanie Yates, Laurie McNichol, Mikel Gray. Compression for Primary Prevention, Treatment, and Prevention of Recurrence of Venous Leg Ulcers.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An Evidence-and Consensus-Based Algorithm for Care Across the Continuum. J Wound Ostomy Continence Nurs.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2016;43(4):347-364.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Cesaretti IUR, Paula MAP, Paula PR. Estomaterapia: Temas Básicos em Estomas. Taubaté,SP: Cabral Editora, 2006.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Paula MAB, Paula PR, Cesaretti IUR.  Estomaterapia em Foco e o cuidado especializado. São Caetano do Sul, SP. Yendis, 2014. 456p.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Ciucci, José Luis. 6° Consenso Latinoamericano para el Tratamiento del Linfedema: Guía de tratamiento / José Luis Ciucci ... [et al.]; Coordinación general de Enrique Angel Peralta. - 1a ed.- Ciudad Autónoma de Buenos Aires: Nayarit, 2017.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Costa,C P M; Squarcina D F; Paula MAB. O Especialista em estomaterapia. In Paula, MAB; Paula PR; Cesaretti, IUR.  Estomaterapia em Foco e o cuidado especializado.São Caetano do Sul, SP. Yendis, p.1-12, 2014.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color w:val="3d3637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rtl w:val="0"/>
        </w:rPr>
        <w:t xml:space="preserve">Diretrizes para o processo de credenciamento de cursos de especialização de enfermagem em estomaterapia. World Council of Enterostomal Therapists – WCET. Associação Brasileira de Estomaterapia - sobest 2020. Disponível em: https://sobest.com.br/wp-content/uploads/2020/10/WCET_-_REVISADO_MAR2020.pdf</w:t>
      </w:r>
      <w:hyperlink r:id="rId9">
        <w:r w:rsidDel="00000000" w:rsidR="00000000" w:rsidRPr="00000000">
          <w:rPr>
            <w:rFonts w:ascii="Arial" w:cs="Arial" w:eastAsia="Arial" w:hAnsi="Arial"/>
            <w:color w:val="3d3637"/>
            <w:sz w:val="21"/>
            <w:szCs w:val="21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rtl w:val="0"/>
        </w:rPr>
        <w:t xml:space="preserve"> Acesso em 25/03/2021.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color w:val="3d363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Eberhardt RT, Raffetto JD. Chronic venous insufficiency. 2005;111;2398-2409, Doi: 10.1161/01.CIR.0000164199.72440.08.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Falcão LFR e Brandão JCM. Primeiros socorros. São Paulo: Martinari, 2010. P.174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color w:val="3d363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Girão MJBC, Sartori MGF, Ribeiro RM, Castro RA, Bella ZIKJ. </w:t>
      </w: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rtl w:val="0"/>
        </w:rPr>
        <w:t xml:space="preserve">Tratado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 de uroginecologia e disfunções do assoalho pélvico. Barueri, SP: Manole, 2015.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Gragnani A e Ferreira LM. Fase aguda das queimaduras- generalidades. In: Ferreira LM. Guia de cirurgia plástica.Barueri, SP: Manole. 2007 p.191.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Haylen BT, de Ridder D, Freeman RM, Swift SE, Berghmans B, Lee J, et al. An International urogynecological Association (IUGA)/International Continence Society (ICS) joint report on the terminology for female pelvic floor dys. Int Urogynecolol J 2010; 21(1):5-26.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Herbella FAM, Laurino Neto RM. Fístulas. Fístulas do Sistema Digestório.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In: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Santos VLCG,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Cesaretti IUR. Assistência em Estomaterapia – Cuidando d</w:t>
      </w: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 Pessoas com Estomias. Atheneu, 2ª Edição. p. 167-204, 2015.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Hortense, FTP. Traqueostomia: cuidados. In: In Paula, MAB; Paula PR; Cesaretti, IUR.  Estomaterapia em Foco e o cuidado especializado.São Caetano do Sul, SP.: Yendis, p. 251266.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Maranhão DDA, Vieira A, Campos T. Características e diagnóstico diferencial das doenças inflamatórias intestinais. JBM  janeiro/fevereiro, 2015;103(1).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Marchesan WG e Farina JA. Tratamento de ferida queimada. In: Jorge AS e Dantas SRPE. Abordagem multiprofissional do tratamento de feridas. São Paulo. Ed. Atheneu. 2005.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Mozachi N.e Souza VHS. O hospital: manual do ambiente hospitalar. 3.ed.Curitiba 2009. p. 362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Principles of compression in venous disease: a practitioner’s guide to treatment and prevention of venous leg ulcers. Wounds International, 2013. Available from: </w:t>
      </w: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3d3637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www.woundsinternational.com.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Projeto Diretrizes SBACV. Insuficiência venosa crônica diagnóstico e tratamento. 2015.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color w:val="3d363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color w:val="3d3637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highlight w:val="white"/>
          <w:rtl w:val="0"/>
        </w:rPr>
        <w:t xml:space="preserve">Raposo MLMM, Blanes L, Nicodemo D, Ferreira LM. Cuidados com dermatite associada à incontinência: em recém-nascido, criança, adulto e idoso. 1 ed. Salvador, BA.2020 [livro eletrônico].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Rodriguez-Palma M, Lópes-Casanova P, García-Molina P, Ibars  Moncasi P. Superfícies especiales pra el manejo de la presión em prevensión y tratamiento de las úlceras por presión. Serie Documentos Técnicos GNEAUPP nº XIII. Grupo Nacional para el Estudio y Asesoramiento em Úlcers por Presión y Heridas Crónicas. Logroño. 2011.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Santos, VLCG;. Evolução da Enfermagem em Estomaterapia no decorrer de sua História. In: Santos, VLCG; Cesaretti, IUR. Assistência em Estomaterapia: Cuidando de </w:t>
      </w: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essoas com Estomia. São Paulo. Ed Atheneu, p. 1-14, 2015.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Schmidt FMQ, Hanate C. Complicações Precoces e tardias nas estomias urinárias e pele periestomia.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In: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Santos VLCG, Cesaretti IUR. Assistência em Estomaterapia – Cuidando d</w:t>
      </w:r>
      <w:r w:rsidDel="00000000" w:rsidR="00000000" w:rsidRPr="00000000">
        <w:rPr>
          <w:rFonts w:ascii="Arial" w:cs="Arial" w:eastAsia="Arial" w:hAnsi="Arial"/>
          <w:color w:val="3d3637"/>
          <w:sz w:val="21"/>
          <w:szCs w:val="2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 Pessoas com Estomias. Atheneu, 2ª Edição, p. 321-44, 2015.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Truzzi JC, Canalini AF, Prezotti JA, Resplande J. – Recomendações SBU 2016: Cateterismo vesical intermitente. – apoio: coloplast. 2016. http://portaldaurologia.org.br/medicos/wpcontent/uploads/2016/11/Recomenda %C3%A7%C3%B5es_Cateterismo-Vesical-SBU-2016_final.pdf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Woo KY, Krasner DL, Kennedy B, Wardle D, Moir O. Palliative wound care management strategies for palliative patients and their circles of care. Adv Skin Wound Care 2015(28):3; 130140.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40" w:line="240" w:lineRule="auto"/>
        <w:ind w:left="-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World Union of Wound Healing Societies (WUWHS) Consensus Document.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Wound exudate: effective assessment and management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Wounds International, 2019. Free download available from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: </w:t>
      </w: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3d3637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www.woundsinternational.com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São Paulo, 04  de </w:t>
      </w: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abril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4956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ATUALIZADO EM: </w:t>
      </w: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abril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4956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-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Profª Drª Fernanda Mateus Queiroz Schmidt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 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baseline"/>
          <w:rtl w:val="0"/>
        </w:rPr>
        <w:t xml:space="preserve">Diretora do Departamento de Desenvolvimento Profissional SOBEST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-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Profª </w:t>
      </w: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Ms. Silvia Angélica Jorge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 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baseline"/>
          <w:rtl w:val="0"/>
        </w:rPr>
        <w:t xml:space="preserve">Vice-Presidente SOBEST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e3e3e"/>
          <w:sz w:val="21"/>
          <w:szCs w:val="21"/>
          <w:rtl w:val="0"/>
        </w:rPr>
        <w:t xml:space="preserve">Profª Drª Sônia Regina Pérez Evangelista Dantas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baseline"/>
          <w:rtl w:val="0"/>
        </w:rPr>
        <w:t xml:space="preserve">Presidente SOBEST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8"/>
          <w:szCs w:val="1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37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40" w:w="11900" w:orient="portrait"/>
      <w:pgMar w:bottom="1134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00" w:line="240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Helvetica Neue" w:cs="Helvetica Neue" w:eastAsia="Helvetica Neue" w:hAnsi="Helvetica Neue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color w:val="000000"/>
      <w:sz w:val="36"/>
      <w:szCs w:val="36"/>
      <w:u w:val="no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Helvetica Neue" w:cs="Helvetica Neue" w:eastAsia="Helvetica Neue" w:hAnsi="Helvetica Neue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color w:val="000000"/>
      <w:sz w:val="36"/>
      <w:szCs w:val="36"/>
      <w:u w:val="no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Helvetica Neue" w:cs="Helvetica Neue" w:eastAsia="Helvetica Neue" w:hAnsi="Helvetica Neue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395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eastAsia="Times New Roman"/>
      <w:sz w:val="24"/>
      <w:szCs w:val="24"/>
      <w:bdr w:color="auto" w:space="0" w:sz="0" w:val="no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0423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uiPriority w:val="9"/>
    <w:unhideWhenUsed w:val="1"/>
    <w:qFormat w:val="1"/>
    <w:pPr>
      <w:spacing w:after="100" w:before="100"/>
      <w:outlineLvl w:val="1"/>
    </w:pPr>
    <w:rPr>
      <w:rFonts w:cs="Arial Unicode MS"/>
      <w:b w:val="1"/>
      <w:bCs w:val="1"/>
      <w:color w:val="000000"/>
      <w:sz w:val="36"/>
      <w:szCs w:val="36"/>
      <w:u w:color="000000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Pr>
      <w:u w:val="single"/>
    </w:rPr>
  </w:style>
  <w:style w:type="table" w:styleId="TableNormal1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pPr>
      <w:tabs>
        <w:tab w:val="center" w:pos="4252"/>
        <w:tab w:val="right" w:pos="8504"/>
      </w:tabs>
      <w:spacing w:after="200" w:line="276" w:lineRule="auto"/>
    </w:pPr>
    <w:rPr>
      <w:rFonts w:ascii="Trebuchet MS" w:cs="Arial Unicode MS" w:hAnsi="Trebuchet MS"/>
      <w:color w:val="000000"/>
      <w:sz w:val="22"/>
      <w:szCs w:val="22"/>
      <w:u w:color="000000"/>
      <w:lang w:val="pt-PT"/>
    </w:rPr>
  </w:style>
  <w:style w:type="paragraph" w:styleId="Corpo" w:customStyle="1">
    <w:name w:val="Corpo"/>
    <w:pPr>
      <w:spacing w:after="200" w:line="276" w:lineRule="auto"/>
    </w:pPr>
    <w:rPr>
      <w:rFonts w:ascii="Trebuchet MS" w:cs="Trebuchet MS" w:eastAsia="Trebuchet MS" w:hAnsi="Trebuchet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 w:val="1"/>
    <w:rsid w:val="002D6266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6266"/>
    <w:rPr>
      <w:sz w:val="24"/>
      <w:szCs w:val="24"/>
      <w:lang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6266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6266"/>
    <w:rPr>
      <w:sz w:val="18"/>
      <w:szCs w:val="18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F10504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10504"/>
    <w:pPr>
      <w:spacing w:after="100" w:afterAutospacing="1" w:before="100" w:beforeAutospacing="1"/>
    </w:pPr>
  </w:style>
  <w:style w:type="character" w:styleId="Emphasis">
    <w:name w:val="Emphasis"/>
    <w:basedOn w:val="DefaultParagraphFont"/>
    <w:uiPriority w:val="20"/>
    <w:qFormat w:val="1"/>
    <w:rsid w:val="00C47D58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983C1A"/>
    <w:pPr>
      <w:ind w:left="720"/>
      <w:contextualSpacing w:val="1"/>
    </w:pPr>
  </w:style>
  <w:style w:type="character" w:styleId="MenoPendente1" w:customStyle="1">
    <w:name w:val="Menção Pendente1"/>
    <w:basedOn w:val="DefaultParagraphFont"/>
    <w:uiPriority w:val="99"/>
    <w:semiHidden w:val="1"/>
    <w:unhideWhenUsed w:val="1"/>
    <w:rsid w:val="009476B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24FDB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224FDB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C74D8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704231"/>
    <w:rPr>
      <w:rFonts w:asciiTheme="majorHAnsi" w:cstheme="majorBidi" w:eastAsiaTheme="majorEastAsia" w:hAnsiTheme="majorHAnsi"/>
      <w:color w:val="2e74b5" w:themeColor="accent1" w:themeShade="0000BF"/>
      <w:sz w:val="32"/>
      <w:szCs w:val="32"/>
      <w:bdr w:color="auto" w:space="0" w:sz="0"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oundsinternational.com/" TargetMode="External"/><Relationship Id="rId10" Type="http://schemas.openxmlformats.org/officeDocument/2006/relationships/hyperlink" Target="http://www.woundsinternational.com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obest.org.br/arquivos/CREDENCIAMENTO_CURSOS_ESTOMATERAPIA.pdf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szfAmLbzH8fzFjOlI6UcpoKww==">AMUW2mU9xy5TnffNTgJguouppeMVt8MvVWSsFCxZ4pJ7IrB1ue2bMjyiRjV1pXTsqIBiJPcTqU73AtBP/KAskOKDSm5iKyLgiN0Ucil2kp/F/j/dMTgmv3XezT3QKCsLAnb57hV+BuZr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2021-01-06T17:40:00Z</dcterms:created>
  <dc:creator>EDNALDA MARIA FRANCK</dc:creator>
</cp:coreProperties>
</file>